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uppressAutoHyphens w:val="true"/>
        <w:bidi w:val="0"/>
        <w:spacing w:lineRule="auto" w:line="276" w:before="0" w:after="283"/>
        <w:jc w:val="both"/>
        <w:rPr>
          <w:color w:val="000000"/>
        </w:rPr>
      </w:pPr>
      <w:r>
        <w:rPr>
          <w:rFonts w:ascii="Crimson Text" w:hAnsi="Crimson Text"/>
          <w:b/>
          <w:bCs/>
          <w:color w:val="000000"/>
          <w:sz w:val="36"/>
          <w:szCs w:val="36"/>
        </w:rPr>
        <w:t>Qual a piada mais sem graça?</w:t>
      </w:r>
    </w:p>
    <w:p>
      <w:pPr>
        <w:pStyle w:val="Normal"/>
        <w:suppressAutoHyphens w:val="false"/>
        <w:bidi w:val="0"/>
        <w:spacing w:lineRule="auto" w:line="276" w:before="0" w:after="283"/>
        <w:jc w:val="both"/>
        <w:rPr/>
      </w:pPr>
      <w:r>
        <w:rPr>
          <w:rStyle w:val="Strong"/>
          <w:rFonts w:cs="Times New Roman" w:ascii="Crimson Text" w:hAnsi="Crimson Text"/>
          <w:b w:val="false"/>
          <w:bCs w:val="false"/>
          <w:color w:val="000000"/>
          <w:sz w:val="28"/>
          <w:szCs w:val="28"/>
        </w:rPr>
        <w:t xml:space="preserve">Christiano Vasconcellos Salum Vieira </w:t>
      </w:r>
      <w:r>
        <w:rPr>
          <w:rFonts w:ascii="Crimson Text" w:hAnsi="Crimson Text"/>
          <w:b w:val="false"/>
          <w:bCs w:val="false"/>
          <w:color w:val="000000"/>
          <w:sz w:val="28"/>
          <w:szCs w:val="28"/>
        </w:rPr>
        <w:t xml:space="preserve"> – mestrando do PMPD</w:t>
      </w:r>
    </w:p>
    <w:p>
      <w:pPr>
        <w:pStyle w:val="Normal"/>
        <w:suppressAutoHyphens w:val="false"/>
        <w:bidi w:val="0"/>
        <w:spacing w:lineRule="auto" w:line="276" w:before="0" w:after="283"/>
        <w:jc w:val="both"/>
        <w:rPr/>
      </w:pPr>
      <w:r>
        <w:rPr>
          <w:rFonts w:ascii="Crimson Text" w:hAnsi="Crimson Text"/>
          <w:b w:val="false"/>
          <w:bCs w:val="false"/>
          <w:color w:val="000000"/>
          <w:sz w:val="28"/>
          <w:szCs w:val="28"/>
        </w:rPr>
        <w:t xml:space="preserve">Disponível em: </w:t>
      </w:r>
      <w:hyperlink r:id="rId2">
        <w:r>
          <w:rPr>
            <w:rStyle w:val="Hyperlink"/>
            <w:rFonts w:ascii="Crimson Text" w:hAnsi="Crimson Text"/>
            <w:b w:val="false"/>
            <w:bCs w:val="false"/>
            <w:color w:val="000000"/>
            <w:sz w:val="28"/>
            <w:szCs w:val="28"/>
          </w:rPr>
          <w:t>https://colunas.direitounb.com.br/qual-a-piada-mais-sem-graca</w:t>
        </w:r>
      </w:hyperlink>
      <w:r>
        <w:rPr>
          <w:rFonts w:ascii="Crimson Text" w:hAnsi="Crimson Text"/>
          <w:b w:val="false"/>
          <w:bCs w:val="false"/>
          <w:color w:val="000000"/>
          <w:sz w:val="28"/>
          <w:szCs w:val="28"/>
        </w:rPr>
        <w:tab/>
      </w:r>
    </w:p>
    <w:p>
      <w:pPr>
        <w:pStyle w:val="Normal"/>
        <w:spacing w:lineRule="auto" w:line="276" w:before="0" w:after="283"/>
        <w:jc w:val="both"/>
        <w:rPr>
          <w:rFonts w:ascii="Crimson Text" w:hAnsi="Crimson Text" w:cs="Times New Roman"/>
          <w:b/>
          <w:bCs/>
          <w:i/>
          <w:i/>
          <w:iCs/>
          <w:sz w:val="28"/>
          <w:szCs w:val="28"/>
          <w:u w:val="single"/>
        </w:rPr>
      </w:pPr>
      <w:r>
        <w:rPr>
          <w:rFonts w:cs="Times New Roman" w:ascii="Crimson Text" w:hAnsi="Crimson Text"/>
          <w:b/>
          <w:bCs/>
          <w:i/>
          <w:iCs/>
          <w:sz w:val="28"/>
          <w:szCs w:val="28"/>
          <w:u w:val="single"/>
        </w:rPr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 xml:space="preserve">Recentemente, um comediante foi condenado à pena de 8 anos 3 meses e 9 dias de reclusão, no regime inicial fechado, por ter praticado os crimes previstos no artigo 20, parágrafos 2º e 2º-A da Lei nº 7.719/89, assim como no artigo 88, parágrafo 2º da Lei nº 13.146/2015. 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Em breve resumo, em um espetáculo de comédia por ele apresentado, no formato “stand-up”, posteriormente veiculado na internet, teriam sido feitas piadas com conteúdo racista e discriminatóri</w:t>
      </w:r>
      <w:r>
        <w:rPr>
          <w:rFonts w:cs="Times New Roman" w:ascii="Crimson Text" w:hAnsi="Crimson Text"/>
          <w:color w:val="000000"/>
          <w:sz w:val="28"/>
          <w:szCs w:val="28"/>
        </w:rPr>
        <w:t>o</w:t>
      </w:r>
      <w:r>
        <w:rPr>
          <w:rFonts w:cs="Times New Roman" w:ascii="Crimson Text" w:hAnsi="Crimson Text"/>
          <w:color w:val="000000"/>
          <w:sz w:val="28"/>
          <w:szCs w:val="28"/>
        </w:rPr>
        <w:t xml:space="preserve"> contra grupos vulnerabilizados. Consta na sentença que o vídeo contava com aproximadamente 3 milhões de visualizações. 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 xml:space="preserve">O debate público então debruçou-se sobre vários aspectos desse episódio. Em primeiro lugar, surgiu a questão de definir se tal conduta praticada pelo comediante seria ou não criminosa. Neste caso, controverte-se se haveria apenas uma expressão artística imune à criminalização, protegida pela liberdade de expressão, ou se seria uma conduta ilícita, qualificada como uma espécie de discurso de ódio. 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Para além disso, chamou atenção também a discussão sobre a (des)necessidade da pena de prisão, tendo em vista que os crimes por ele cometidos, se assim considerados, foram praticados sem violência ou grave ameaça, cuidando-se apenas de palavras proferidas em um espetáculo de comédia.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Não vou adent</w:t>
      </w:r>
      <w:r>
        <w:rPr>
          <w:rFonts w:cs="Times New Roman" w:ascii="Crimson Text" w:hAnsi="Crimson Text"/>
          <w:color w:val="000000"/>
          <w:sz w:val="28"/>
          <w:szCs w:val="28"/>
        </w:rPr>
        <w:t>r</w:t>
      </w:r>
      <w:r>
        <w:rPr>
          <w:rFonts w:cs="Times New Roman" w:ascii="Crimson Text" w:hAnsi="Crimson Text"/>
          <w:color w:val="000000"/>
          <w:sz w:val="28"/>
          <w:szCs w:val="28"/>
        </w:rPr>
        <w:t>ar aqui o mérito da questão sobre a configuração ou não do crime, mas deixo claro, de antemão, que, sem dúvida, pode-se afirmar que a quantidade de pena aplicada mostrou-se exagerada e o estabelecimento do regime fechado mais ainda.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Arriscaria dizer que, nes</w:t>
      </w:r>
      <w:r>
        <w:rPr>
          <w:rFonts w:cs="Times New Roman" w:ascii="Crimson Text" w:hAnsi="Crimson Text"/>
          <w:color w:val="000000"/>
          <w:sz w:val="28"/>
          <w:szCs w:val="28"/>
        </w:rPr>
        <w:t>s</w:t>
      </w:r>
      <w:r>
        <w:rPr>
          <w:rFonts w:cs="Times New Roman" w:ascii="Crimson Text" w:hAnsi="Crimson Text"/>
          <w:color w:val="000000"/>
          <w:sz w:val="28"/>
          <w:szCs w:val="28"/>
        </w:rPr>
        <w:t>e posto, há praticamente um consenso sobre a desproporcionalidade da punição imposta.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O episódio, sem dúvida, tem como pano de fundo uma questão que, há pouco tempo, não encontrava eco na sociedade brasileira. Refiro-me às reivindicações de grupos identitários, pr</w:t>
      </w:r>
      <w:r>
        <w:rPr>
          <w:rFonts w:cs="Times New Roman" w:ascii="Crimson Text" w:hAnsi="Crimson Text"/>
          <w:color w:val="000000"/>
          <w:sz w:val="28"/>
          <w:szCs w:val="28"/>
        </w:rPr>
        <w:t xml:space="preserve">incipais </w:t>
      </w:r>
      <w:r>
        <w:rPr>
          <w:rFonts w:cs="Times New Roman" w:ascii="Crimson Text" w:hAnsi="Crimson Text"/>
          <w:color w:val="000000"/>
          <w:sz w:val="28"/>
          <w:szCs w:val="28"/>
        </w:rPr>
        <w:t>alvos desse tipo de “humor”. É inegável que essas vozes, que passaram a ter algum espaço no debate público, têm promovido significativas mudanças na cultura, incluindo-se a discussão ora em curso.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 xml:space="preserve">Mas, para além disso, há um outro ponto, mais antigo e abrangente, que também emerge desse fato, referente à necessidade e </w:t>
      </w:r>
      <w:r>
        <w:rPr>
          <w:rFonts w:cs="Times New Roman" w:ascii="Crimson Text" w:hAnsi="Crimson Text"/>
          <w:color w:val="000000"/>
          <w:sz w:val="28"/>
          <w:szCs w:val="28"/>
        </w:rPr>
        <w:t>à</w:t>
      </w:r>
      <w:r>
        <w:rPr>
          <w:rFonts w:cs="Times New Roman" w:ascii="Crimson Text" w:hAnsi="Crimson Text"/>
          <w:color w:val="000000"/>
          <w:sz w:val="28"/>
          <w:szCs w:val="28"/>
        </w:rPr>
        <w:t xml:space="preserve"> adequação da pena de prisão como uma espécie de panaceia de todos os males que nos afligem.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 xml:space="preserve">Não custa lembrar que o Brasil possui uma das maiores populações carcerárias do mundo, ocupando a quarta colocação. Em dezembro de 2023, havia, de acordo com relatório do SENAPPEN, 167.936 presos, dentre homens e mulheres, que praticaram o crime de tráfico de entorpecentes, de um total de 642.941 pessoas integrantes da população carcerária, o que significa 26,12% do total. 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 xml:space="preserve">Estranhamente não causa perplexidade que um crime, sem vítima, e que é cometido sem violência ou grave ameaça, possa ser responsável por quase 1/3 da população carcerária do país, formada em sua maioria por jovens, pobres e negros. 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Não bastasse ser responsável por grande parte do contingente carcerário, o tráfico de drogas gera uma espiral de violência, estando diretamente relacionado com outras práticas delitivas, como a formação de organizações criminosas, o tráfico de armas e a corrupção policial. Mais grave ainda, a denominada guerra ao tráfico implica a morte de traficantes, policiais e pessoas que nada t</w:t>
      </w:r>
      <w:r>
        <w:rPr>
          <w:rFonts w:cs="Times New Roman" w:ascii="Crimson Text" w:hAnsi="Crimson Text"/>
          <w:color w:val="000000"/>
          <w:sz w:val="28"/>
          <w:szCs w:val="28"/>
        </w:rPr>
        <w:t>ê</w:t>
      </w:r>
      <w:r>
        <w:rPr>
          <w:rFonts w:cs="Times New Roman" w:ascii="Crimson Text" w:hAnsi="Crimson Text"/>
          <w:color w:val="000000"/>
          <w:sz w:val="28"/>
          <w:szCs w:val="28"/>
        </w:rPr>
        <w:t>m a ver com esse problema.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Diferentemente do caso do comediante, que é raro, a prisão decorrente do crime de tráfico é medida corriqueira, sendo a base do funcionamento do sistema de Justiça Criminal, pautando a atividade da Polícia, do Ministério Público e do Poder Judiciário. Há, ainda, a chancela da imprensa e de parcela majoritária da sociedade civil. Enfim, todos unidos na guerra contra as drogas. E que, a bem da verdade, cuida-se, e</w:t>
      </w:r>
      <w:r>
        <w:rPr>
          <w:rFonts w:cs="Times New Roman" w:ascii="Crimson Text" w:hAnsi="Crimson Text"/>
          <w:color w:val="000000"/>
          <w:sz w:val="28"/>
          <w:szCs w:val="28"/>
        </w:rPr>
        <w:t>m grande medida, de</w:t>
      </w:r>
      <w:r>
        <w:rPr>
          <w:rFonts w:cs="Times New Roman" w:ascii="Crimson Text" w:hAnsi="Crimson Text"/>
          <w:color w:val="000000"/>
          <w:sz w:val="28"/>
          <w:szCs w:val="28"/>
        </w:rPr>
        <w:t xml:space="preserve"> uma guerra </w:t>
      </w:r>
      <w:r>
        <w:rPr>
          <w:rFonts w:cs="Times New Roman" w:ascii="Crimson Text" w:hAnsi="Crimson Text"/>
          <w:color w:val="000000"/>
          <w:sz w:val="28"/>
          <w:szCs w:val="28"/>
        </w:rPr>
        <w:t xml:space="preserve">direcionada contra </w:t>
      </w:r>
      <w:r>
        <w:rPr>
          <w:rFonts w:cs="Times New Roman" w:ascii="Crimson Text" w:hAnsi="Crimson Text"/>
          <w:color w:val="000000"/>
          <w:sz w:val="28"/>
          <w:szCs w:val="28"/>
        </w:rPr>
        <w:t>determinad</w:t>
      </w:r>
      <w:r>
        <w:rPr>
          <w:rFonts w:cs="Times New Roman" w:ascii="Crimson Text" w:hAnsi="Crimson Text"/>
          <w:color w:val="000000"/>
          <w:sz w:val="28"/>
          <w:szCs w:val="28"/>
        </w:rPr>
        <w:t>o</w:t>
      </w:r>
      <w:r>
        <w:rPr>
          <w:rFonts w:cs="Times New Roman" w:ascii="Crimson Text" w:hAnsi="Crimson Text"/>
          <w:color w:val="000000"/>
          <w:sz w:val="28"/>
          <w:szCs w:val="28"/>
        </w:rPr>
        <w:t xml:space="preserve">s </w:t>
      </w:r>
      <w:r>
        <w:rPr>
          <w:rFonts w:cs="Times New Roman" w:ascii="Crimson Text" w:hAnsi="Crimson Text"/>
          <w:color w:val="000000"/>
          <w:sz w:val="28"/>
          <w:szCs w:val="28"/>
        </w:rPr>
        <w:t>grupos sociais</w:t>
      </w:r>
      <w:r>
        <w:rPr>
          <w:rFonts w:cs="Times New Roman" w:ascii="Crimson Text" w:hAnsi="Crimson Text"/>
          <w:color w:val="000000"/>
          <w:sz w:val="28"/>
          <w:szCs w:val="28"/>
        </w:rPr>
        <w:t>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A despeito desse cenário de aparente normalidade, deve-se rever essa triste realidade.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 xml:space="preserve">A pretexto de se tutelar a saúde pública, pune-se severamente aquele que ousa realizar uma relação comercial que tem por objeto uma substância entorpecente. Mas, a depender de qual é a substância, pode-se comprar livremente na farmácia ou no supermercado. Tal seletividade, longe de se apoiar em dados científicos, decorre de escolhas aleatórias dos detentores do poder, fruto de concepções moralistas e/ou oportunistas.  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Além disso, é perceptível que essa guerra declarada às drogas está perdida. Não parece haver dúvida de que o comércio de drogas jamais cessou. Ao contrário, cada vez mais se intensifica, inclusive com a produção de novas substâncias, as denominadas drogas sintéticas. Ademais, há um mercado consumidor ávido pelos produtos dessa rentável indústria.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A proibição em uma sociedade neoliberal e capitalista, que estimula o consumo como forma de existência, revela a contradição e a falência da política de drogas. Assim, imaginar que tais substâncias deixarão de ser desejadas e consumidas beira à loucura.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</w:r>
      <w:r>
        <w:rPr>
          <w:rFonts w:cs="Times New Roman" w:ascii="Crimson Text" w:hAnsi="Crimson Text"/>
          <w:color w:val="000000"/>
          <w:sz w:val="28"/>
          <w:szCs w:val="28"/>
        </w:rPr>
        <w:t>Cabe um esclarecimento: n</w:t>
      </w:r>
      <w:r>
        <w:rPr>
          <w:rFonts w:cs="Times New Roman" w:ascii="Crimson Text" w:hAnsi="Crimson Text"/>
          <w:color w:val="000000"/>
          <w:sz w:val="28"/>
          <w:szCs w:val="28"/>
        </w:rPr>
        <w:t>ão se trata de romantizar o comércio e o uso de entorpecentes. O consumo regular de drogas, lícitas e ilícitas, pode se tornar um problema de saúde pública, que reclama a atenção do Estado e da sociedade, assim como investimentos em campanhas de prevenção, esclarecimento e tratamento dos usuários.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Porém, o risco que as drogas representam não autoriza que o tema seja tratado apenas com a estigmatização, criminalização e a prisão.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Em razão da constatação da ineficiência do modelo atual de combate às drogas no mundo como um todo, alguns países t</w:t>
      </w:r>
      <w:r>
        <w:rPr>
          <w:rFonts w:cs="Times New Roman" w:ascii="Crimson Text" w:hAnsi="Crimson Text"/>
          <w:color w:val="000000"/>
          <w:sz w:val="28"/>
          <w:szCs w:val="28"/>
        </w:rPr>
        <w:t>ê</w:t>
      </w:r>
      <w:r>
        <w:rPr>
          <w:rFonts w:cs="Times New Roman" w:ascii="Crimson Text" w:hAnsi="Crimson Text"/>
          <w:color w:val="000000"/>
          <w:sz w:val="28"/>
          <w:szCs w:val="28"/>
        </w:rPr>
        <w:t>m experimentado políticas de descriminalização do uso de determinadas substâncias, como, por exemplo, Portugal e o Uruguai. No Brasil, o STF, timidamente, avançou sobre o tema e descriminalizou o porte de até 40 gramas de maconha para uso pessoal.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>Talvez essa decisão sinalize para um horizonte no qual seja possível realizar um debate mais aprofundado acerca do modelo vigente em nosso país, que tendo como alicerce a Lei n. 11.343/2006, prioriza o encarceramento, sem demonstrar a mínima capacidade de chegar perto de resolver o problema.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 xml:space="preserve">Enquanto isso, os mais vulneráveis continuam a ser presos e mortos em nome do vertiginoso combate às drogas. Nesse meio tempo, pode ser que algum comediante vire notícia outra vez. </w:t>
      </w:r>
    </w:p>
    <w:p>
      <w:pPr>
        <w:pStyle w:val="Normal"/>
        <w:spacing w:lineRule="auto" w:line="276" w:before="0" w:after="283"/>
        <w:jc w:val="both"/>
        <w:rPr/>
      </w:pPr>
      <w:r>
        <w:rPr>
          <w:rFonts w:cs="Times New Roman" w:ascii="Crimson Text" w:hAnsi="Crimson Text"/>
          <w:color w:val="000000"/>
          <w:sz w:val="28"/>
          <w:szCs w:val="28"/>
        </w:rPr>
        <w:tab/>
        <w:t xml:space="preserve">Enfim, talvez um dia percebamos que o tratamento </w:t>
      </w:r>
      <w:r>
        <w:rPr>
          <w:rFonts w:cs="Times New Roman" w:ascii="Crimson Text" w:hAnsi="Crimson Text"/>
          <w:color w:val="000000"/>
          <w:sz w:val="28"/>
          <w:szCs w:val="28"/>
        </w:rPr>
        <w:t xml:space="preserve">penal atualmente </w:t>
      </w:r>
      <w:r>
        <w:rPr>
          <w:rFonts w:cs="Times New Roman" w:ascii="Crimson Text" w:hAnsi="Crimson Text"/>
          <w:color w:val="000000"/>
          <w:sz w:val="28"/>
          <w:szCs w:val="28"/>
        </w:rPr>
        <w:t xml:space="preserve">dispensado ao tráfico de drogas </w:t>
      </w:r>
      <w:r>
        <w:rPr>
          <w:rFonts w:cs="Times New Roman" w:ascii="Crimson Text" w:hAnsi="Crimson Text"/>
          <w:color w:val="000000"/>
          <w:sz w:val="28"/>
          <w:szCs w:val="28"/>
        </w:rPr>
        <w:t>constitui uma das mais persistentes contradições da política criminal contemporânea</w:t>
      </w:r>
      <w:r>
        <w:rPr>
          <w:rFonts w:cs="Times New Roman" w:ascii="Crimson Text" w:hAnsi="Crimson Text"/>
          <w:color w:val="000000"/>
          <w:sz w:val="28"/>
          <w:szCs w:val="28"/>
        </w:rPr>
        <w:t>.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134" w:right="1127" w:gutter="0" w:header="1134" w:top="3118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rimson Tex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bookmarkStart w:id="0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/>
    </w:pPr>
    <w:bookmarkStart w:id="1" w:name="PageNumWizard_FOOTER_Estilo_de_página_P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2440"/>
          <wp:effectExtent l="0" t="0" r="0" b="0"/>
          <wp:wrapSquare wrapText="largest"/>
          <wp:docPr id="1" name="Figura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2440"/>
          <wp:effectExtent l="0" t="0" r="0" b="0"/>
          <wp:wrapSquare wrapText="largest"/>
          <wp:docPr id="2" name="Figura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use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use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use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mbolosdenumeraouser">
    <w:name w:val="Símbolos de numeração (user)"/>
    <w:qFormat/>
    <w:rPr/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selectable-text">
    <w:name w:val="selectable-text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40" w:start="340"/>
    </w:pPr>
    <w:rPr>
      <w:sz w:val="20"/>
      <w:szCs w:val="20"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ind w:hanging="0"/>
      <w:jc w:val="start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Numerao123user">
    <w:name w:val="Numeração 123 (user)"/>
    <w:qFormat/>
  </w:style>
  <w:style w:type="numbering" w:styleId="Marcadoruser">
    <w:name w:val="Marcador •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lunas.direitounb.com.br/qual-a-piada-mais-sem-grac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57623</TotalTime>
  <Application>LibreOffice/25.2.7.2$Windows_X86_64 LibreOffice_project/5cbfd1ab6520636bb5f7b99185aa69bd7456825d</Application>
  <AppVersion>15.0000</AppVersion>
  <Pages>4</Pages>
  <Words>1009</Words>
  <Characters>5488</Characters>
  <CharactersWithSpaces>6504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2025-07-21T10:01:21Z</dcterms:created>
  <dc:creator/>
  <dc:description/>
  <dc:language>pt-BR</dc:language>
  <cp:lastModifiedBy/>
  <cp:lastPrinted>2025-08-13T10:57:32Z</cp:lastPrinted>
  <dcterms:modified xsi:type="dcterms:W3CDTF">2026-06-04T14:01:06Z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